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Cezaevi İaşe Bedeli Örnek Dilekçe</w:t>
      </w:r>
    </w:p>
    <w:p>
      <w:pPr>
        <w:widowControl/>
        <w:jc w:val="left"/>
      </w:pPr>
      <w:r>
        <w:rPr>
          <w:b/>
          <w:i w:val="0"/>
          <w:u w:val="none"/>
        </w:rPr>
        <w:t>… İDARE MAHKEMESİ BAŞKANLIĞI’NA</w:t>
      </w:r>
    </w:p>
    <w:p>
      <w:pPr>
        <w:widowControl/>
        <w:jc w:val="left"/>
      </w:pPr>
      <w:r>
        <w:rPr>
          <w:b/>
          <w:i w:val="0"/>
          <w:u w:val="none"/>
        </w:rPr>
        <w:t>ADLİ YARDIM TALEPLİDİR.</w:t>
      </w:r>
    </w:p>
    <w:p>
      <w:pPr>
        <w:widowControl/>
        <w:jc w:val="left"/>
      </w:pPr>
      <w:r>
        <w:rPr>
          <w:b/>
          <w:i w:val="0"/>
          <w:u w:val="none"/>
        </w:rPr>
        <w:t>DAVACI:</w:t>
      </w:r>
      <w:r>
        <w:rPr>
          <w:b w:val="0"/>
          <w:i w:val="0"/>
          <w:u w:val="none"/>
        </w:rPr>
        <w:t xml:space="preserve"> … (Tahliye edilmiş hükümlü)</w:t>
      </w:r>
    </w:p>
    <w:p>
      <w:pPr>
        <w:widowControl/>
        <w:jc w:val="left"/>
      </w:pPr>
      <w:r>
        <w:rPr>
          <w:b/>
          <w:i w:val="0"/>
          <w:u w:val="none"/>
        </w:rPr>
        <w:t>VEKİLİ:</w:t>
      </w:r>
      <w:r>
        <w:rPr>
          <w:b w:val="0"/>
          <w:i w:val="0"/>
          <w:u w:val="none"/>
        </w:rPr>
        <w:t xml:space="preserve"> Av. Umur YILDIRIM</w:t>
      </w:r>
    </w:p>
    <w:p>
      <w:pPr>
        <w:widowControl/>
        <w:jc w:val="left"/>
      </w:pPr>
      <w:r>
        <w:rPr>
          <w:b/>
          <w:i w:val="0"/>
          <w:u w:val="none"/>
        </w:rPr>
        <w:t>DAVALI:</w:t>
      </w:r>
      <w:r>
        <w:rPr>
          <w:b w:val="0"/>
          <w:i w:val="0"/>
          <w:u w:val="none"/>
        </w:rPr>
        <w:t xml:space="preserve"> … Vergi Dairesi Müdürlüğü</w:t>
      </w:r>
    </w:p>
    <w:p>
      <w:pPr>
        <w:widowControl/>
        <w:jc w:val="left"/>
      </w:pPr>
      <w:r>
        <w:rPr>
          <w:b/>
          <w:i w:val="0"/>
          <w:u w:val="none"/>
        </w:rPr>
        <w:t>KONU:</w:t>
      </w:r>
      <w:r>
        <w:rPr>
          <w:b w:val="0"/>
          <w:i w:val="0"/>
          <w:u w:val="none"/>
        </w:rPr>
        <w:t xml:space="preserve"> … Vergi Dairesi Müdürlüğü tarafından müvekkile gönderilmiş olan … tarih ve … takip dosya numaralı ödeme emrinin iptali talebidir.</w:t>
      </w:r>
    </w:p>
    <w:p>
      <w:pPr>
        <w:widowControl/>
        <w:jc w:val="left"/>
      </w:pPr>
      <w:r>
        <w:rPr>
          <w:b/>
          <w:i w:val="0"/>
          <w:u w:val="none"/>
        </w:rPr>
        <w:t>AÇIKLAMALAR</w:t>
      </w:r>
    </w:p>
    <w:p>
      <w:pPr>
        <w:widowControl/>
        <w:jc w:val="left"/>
      </w:pPr>
      <w:r>
        <w:rPr>
          <w:b w:val="0"/>
          <w:i w:val="0"/>
          <w:u w:val="none"/>
        </w:rPr>
        <w:t>Müvekkil hakkında … Ağır Ceza Mahkemesi tarafından verilen mahkumiyet kararının kesinleşmesi üzerine müvekkil … Ceza İnfaz Kurumu’nda … kadar hükümlü olarak infazını yerine getirmiş olup; … tarihinde tahliye edilmiştir.</w:t>
      </w:r>
    </w:p>
    <w:p>
      <w:pPr>
        <w:widowControl/>
        <w:jc w:val="left"/>
      </w:pPr>
      <w:r>
        <w:rPr>
          <w:b w:val="0"/>
          <w:i w:val="0"/>
          <w:u w:val="none"/>
        </w:rPr>
        <w:t>Müvekkilin … Ceza İnfaz Kurumu’nda bulunduğu döneme ilişkin olarak, 2548 sayılı Ceza Evleriyle Mahkeme Binaları İnşası Karşılığı Olarak Alınacak Harçlar ve Mahkumlara Ödettirilecek Yiyecek Bedelleri Hakkında Kanun’un 2. Maddesi uyarınca … numaralı ve … TL tutarında “Cezaevi İaşe Bedeli Bordrosu” düzenlenmiştir. Ne var ki, … Cumhuriyet Başsavcılığı tarafından müvekkilin ekonomik ve sosyal durumu hakkında yeterli ve kapsamlı bir araştırma yapılmaksızın söz konusu bordro ve ekleri 6183 sayılı Amme Alacaklarının Tahsil Usulü Hakkında Kanun Kapsamında tahsil işlemlerinin yürütülmesi amacıyla mal müdürlüğüne gönderilmiş, akabinde ise … Vergi Dairesi Müdürlüğü tarafından … tarihli ve … takip dosya numaralı ödeme emri düzenlenerek müvekkile tebliğ edilmiştir.</w:t>
      </w:r>
    </w:p>
    <w:p>
      <w:pPr>
        <w:widowControl/>
        <w:jc w:val="left"/>
      </w:pPr>
      <w:r>
        <w:rPr>
          <w:b w:val="0"/>
          <w:i w:val="0"/>
          <w:u w:val="none"/>
        </w:rPr>
        <w:t>Oysaki 2548 sayılı Kanun’un 2/6 maddesi açıkça ödeme gücü bulunmayan hükümlülerden iaşe bedeli tahsil edilemeyeceğini düzenlemektedir. Bu nedenle hükümlü hakkında iaşe bedeli tahakkuk ettirilmesi ve tahsil işlemlerine başlanabilmesi için öncelikle ilgili kişinin ödeme gücünün bulunup bulunmadığının incelenmesi gerekmektedir. Somut olay kapsamında müvekkilin tahliyesi sonrasında herhangi bir gelir getirici faaliyetinin bulunmadığı, üzerine kayıtlı taşınır ya da taşınmaz malvarlığının olmadığı sabittir. Müvekkil ve ailesi en temel ihtiyaçlarını karışılmakta bile ciddi ekonomik sıkıntılar yaşamaktadırlar. Bu nedenle müvekkilin mevcut ekonomik durumu iaşe bedelinin tahsilini mümkün kılacak düzeyde değildir.</w:t>
      </w:r>
    </w:p>
    <w:p>
      <w:pPr>
        <w:widowControl/>
        <w:jc w:val="left"/>
      </w:pPr>
      <w:r>
        <w:rPr>
          <w:b w:val="0"/>
          <w:i w:val="0"/>
          <w:u w:val="none"/>
        </w:rPr>
        <w:t>Tüm bu hususlar birlikte değerlendirildiğinde müvekkilin ödeme gücünün bulunup bulunmadığı yönünde gerekli ve yeterli araştırma yapılmaksızın, yalnızca bordro düzenlenmiş olmasına dayanılarak tahsil süreci başlatılması hukuka açıkça aykırıdır. Bu nedenle hukuka aykırı şekilde tesis eden işbu ödeme emrinin iptali gerekmektedir.</w:t>
      </w:r>
    </w:p>
    <w:p>
      <w:pPr>
        <w:widowControl/>
        <w:jc w:val="left"/>
      </w:pPr>
      <w:r>
        <w:rPr>
          <w:b/>
          <w:i w:val="0"/>
          <w:u w:val="none"/>
        </w:rPr>
        <w:t>NETİCE VE TALEP:</w:t>
      </w:r>
      <w:r>
        <w:rPr>
          <w:b w:val="0"/>
          <w:i w:val="0"/>
          <w:u w:val="none"/>
        </w:rPr>
        <w:t xml:space="preserve"> Yukarıda izah edilen sebepler ve mahkemenizin re’sen dikkate alacağı diğer hususlar ile birlikte;</w:t>
      </w:r>
    </w:p>
    <w:p>
      <w:pPr>
        <w:widowControl/>
        <w:ind w:left="255" w:hanging="255"/>
        <w:jc w:val="left"/>
      </w:pPr>
      <w:r>
        <w:t xml:space="preserve">1. </w:t>
      </w:r>
      <w:r>
        <w:rPr>
          <w:b w:val="0"/>
          <w:i w:val="0"/>
          <w:u w:val="none"/>
        </w:rPr>
        <w:t>Müvekkilin cezaevinden yakın zamanda tahliye edilmiş olması, herhangi bir geliri veya malvarlığının bulunmaması, asgari ihtiyaçlarımı dahi karşılamakta güçlük çekmesi sebebiyle</w:t>
      </w:r>
      <w:r>
        <w:rPr>
          <w:b/>
          <w:i w:val="0"/>
          <w:u w:val="none"/>
        </w:rPr>
        <w:t xml:space="preserve"> ADLİ YARDIM TALEBİMİZİN KABULÜNE</w:t>
      </w:r>
      <w:r>
        <w:rPr>
          <w:b w:val="0"/>
          <w:i w:val="0"/>
          <w:u w:val="none"/>
        </w:rPr>
        <w:t>,</w:t>
      </w:r>
    </w:p>
    <w:p>
      <w:pPr>
        <w:widowControl/>
        <w:ind w:left="255" w:hanging="255"/>
        <w:jc w:val="left"/>
      </w:pPr>
      <w:r>
        <w:t xml:space="preserve">2. </w:t>
      </w:r>
      <w:r>
        <w:rPr>
          <w:b w:val="0"/>
          <w:i w:val="0"/>
          <w:u w:val="none"/>
        </w:rPr>
        <w:t xml:space="preserve">Davalı Vergi Dairesi tarafından gönderilen … tarih ve … takip dosya nolu ödeme emrinin </w:t>
      </w:r>
      <w:r>
        <w:rPr>
          <w:b/>
          <w:i w:val="0"/>
          <w:u w:val="none"/>
        </w:rPr>
        <w:t>İPTALİNE</w:t>
      </w:r>
      <w:r>
        <w:rPr>
          <w:b w:val="0"/>
          <w:i w:val="0"/>
          <w:u w:val="none"/>
        </w:rPr>
        <w:t>,</w:t>
      </w:r>
    </w:p>
    <w:p>
      <w:pPr>
        <w:widowControl/>
        <w:ind w:left="255" w:hanging="255"/>
        <w:jc w:val="left"/>
      </w:pPr>
      <w:r>
        <w:t xml:space="preserve">3. </w:t>
      </w:r>
      <w:r>
        <w:rPr>
          <w:b w:val="0"/>
          <w:i w:val="0"/>
          <w:u w:val="none"/>
        </w:rPr>
        <w:t xml:space="preserve">Yargılama giderleri ve masrafların davalı idare üzerinde bırakılmasına karar verilmesini, vekaleten arz ve talep ederiz. </w:t>
      </w:r>
      <w:r>
        <w:rPr>
          <w:b/>
          <w:i w:val="0"/>
          <w:u w:val="none"/>
        </w:rPr>
        <w:t>…/…/2026</w:t>
      </w:r>
    </w:p>
    <w:p>
      <w:pPr>
        <w:widowControl/>
        <w:jc w:val="left"/>
      </w:pPr>
      <w:r>
        <w:rPr>
          <w:b/>
          <w:i w:val="0"/>
          <w:u w:val="none"/>
        </w:rPr>
        <w:t>Davacı Vekili</w:t>
      </w:r>
    </w:p>
    <w:p>
      <w:pPr>
        <w:widowControl/>
        <w:jc w:val="left"/>
      </w:pPr>
      <w:r>
        <w:rPr>
          <w:b/>
          <w:i w:val="0"/>
          <w:u w:val="none"/>
        </w:rPr>
        <w:t>Av. Umur YILDIRIM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Cezaevi İaşe Bedeli Örnek Dilekçe</dc:title>
  <dc:subject>https://kadimhukuk.com.tr/makale/cezaevi-iase-bedeli/</dc:subject>
  <dc:creator>Kadim Hukuk</dc:creator>
  <cp:keywords/>
  <dc:description/>
  <cp:lastModifiedBy/>
  <cp:revision>1</cp:revision>
  <dcterms:created xsi:type="dcterms:W3CDTF">2013-12-23T23:15:00Z</dcterms:created>
  <dcterms:modified xsi:type="dcterms:W3CDTF">2013-12-23T23:15:00Z</dcterms:modified>
  <cp:category/>
</cp:coreProperties>
</file>